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6E6E6C" w:rsidRDefault="00F14F6F">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Pr="002E5258" w:rsidRDefault="0094424E">
            <w:pPr>
              <w:rPr>
                <w:rFonts w:ascii="Arial" w:hAnsi="Arial"/>
                <w:b/>
                <w:bCs/>
                <w:noProof w:val="0"/>
                <w:sz w:val="26"/>
                <w:szCs w:val="26"/>
                <w:rtl/>
              </w:rPr>
            </w:pPr>
          </w:p>
          <w:p w:rsidR="00740A8F" w:rsidRDefault="00F03686" w:rsidP="00F14F6F">
            <w:pPr>
              <w:rPr>
                <w:sz w:val="26"/>
                <w:szCs w:val="26"/>
                <w:rtl/>
              </w:rPr>
            </w:pPr>
            <w:sdt>
              <w:sdtPr>
                <w:rPr>
                  <w:sz w:val="26"/>
                  <w:szCs w:val="26"/>
                  <w:rtl/>
                </w:rPr>
                <w:alias w:val="1478"/>
                <w:tag w:val="1478"/>
                <w:id w:val="-2076122985"/>
                <w:text w:multiLine="1"/>
              </w:sdtPr>
              <w:sdtEndPr/>
              <w:sdtContent>
                <w:r w:rsidR="00F14F6F">
                  <w:rPr>
                    <w:rFonts w:ascii="Arial" w:hAnsi="Arial" w:hint="cs"/>
                    <w:b/>
                    <w:bCs/>
                    <w:noProof w:val="0"/>
                    <w:sz w:val="26"/>
                    <w:szCs w:val="26"/>
                    <w:rtl/>
                  </w:rPr>
                  <w:t>פלוני</w:t>
                </w:r>
              </w:sdtContent>
            </w:sdt>
          </w:p>
          <w:p w:rsidR="0094424E" w:rsidRPr="002E5258" w:rsidRDefault="00F14F6F">
            <w:pPr>
              <w:rPr>
                <w:b/>
                <w:bCs/>
                <w:noProof w:val="0"/>
                <w:sz w:val="26"/>
                <w:szCs w:val="26"/>
              </w:rPr>
            </w:pPr>
            <w:r>
              <w:rPr>
                <w:rFonts w:hint="cs"/>
                <w:sz w:val="26"/>
                <w:szCs w:val="26"/>
                <w:rtl/>
              </w:rPr>
              <w:t>ע"י ב"כ עו"ד ר.סידי ואח'</w:t>
            </w:r>
          </w:p>
        </w:tc>
      </w:tr>
      <w:tr w:rsidR="0094424E" w:rsidRPr="002E5258">
        <w:trPr>
          <w:jc w:val="center"/>
        </w:trPr>
        <w:tc>
          <w:tcPr>
            <w:tcW w:w="8820" w:type="dxa"/>
            <w:gridSpan w:val="3"/>
          </w:tcPr>
          <w:p w:rsidR="0094424E" w:rsidRPr="002E5258"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F03686">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740A8F" w:rsidRDefault="00F03686" w:rsidP="00F14F6F">
            <w:pPr>
              <w:rPr>
                <w:sz w:val="26"/>
                <w:szCs w:val="26"/>
                <w:rtl/>
              </w:rPr>
            </w:pPr>
            <w:sdt>
              <w:sdtPr>
                <w:rPr>
                  <w:sz w:val="26"/>
                  <w:szCs w:val="26"/>
                  <w:rtl/>
                </w:rPr>
                <w:alias w:val="1486"/>
                <w:tag w:val="1486"/>
                <w:id w:val="-309872140"/>
                <w:text w:multiLine="1"/>
              </w:sdtPr>
              <w:sdtEndPr/>
              <w:sdtContent>
                <w:r w:rsidR="00F14F6F">
                  <w:rPr>
                    <w:rFonts w:ascii="Arial" w:hAnsi="Arial" w:hint="cs"/>
                    <w:b/>
                    <w:bCs/>
                    <w:noProof w:val="0"/>
                    <w:sz w:val="26"/>
                    <w:szCs w:val="26"/>
                    <w:rtl/>
                  </w:rPr>
                  <w:t>אלמונית</w:t>
                </w:r>
              </w:sdtContent>
            </w:sdt>
          </w:p>
          <w:p w:rsidR="0094424E" w:rsidRPr="002E5258" w:rsidRDefault="00F14F6F">
            <w:pPr>
              <w:rPr>
                <w:b/>
                <w:bCs/>
                <w:noProof w:val="0"/>
                <w:sz w:val="26"/>
                <w:szCs w:val="26"/>
                <w:rtl/>
              </w:rPr>
            </w:pPr>
            <w:r>
              <w:rPr>
                <w:rFonts w:hint="cs"/>
                <w:sz w:val="26"/>
                <w:szCs w:val="26"/>
                <w:rtl/>
              </w:rPr>
              <w:t>ע"י ב"כ עו"ד יעל שמואלי</w:t>
            </w:r>
          </w:p>
        </w:tc>
      </w:tr>
    </w:tbl>
    <w:p w:rsidR="0094424E" w:rsidRDefault="0094424E" w:rsidP="0094424E">
      <w:pPr>
        <w:rPr>
          <w:rtl/>
        </w:rPr>
      </w:pPr>
    </w:p>
    <w:p w:rsidR="0094424E" w:rsidRDefault="0094424E">
      <w:pPr>
        <w:rPr>
          <w:rtl/>
        </w:rPr>
      </w:pPr>
    </w:p>
    <w:p w:rsidR="0094424E" w:rsidRDefault="0094424E"/>
    <w:p w:rsidR="00E31C2B" w:rsidRPr="00E31C2B" w:rsidRDefault="00E31C2B" w:rsidP="006D3B31">
      <w:pPr>
        <w:suppressLineNumbers/>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F14F6F" w:rsidRDefault="00F14F6F" w:rsidP="00F14F6F">
      <w:pPr>
        <w:spacing w:line="360" w:lineRule="auto"/>
        <w:jc w:val="both"/>
        <w:rPr>
          <w:rFonts w:ascii="David" w:hAnsi="David"/>
          <w:rtl/>
        </w:rPr>
      </w:pPr>
      <w:r>
        <w:rPr>
          <w:rFonts w:ascii="David" w:hAnsi="David"/>
          <w:rtl/>
        </w:rPr>
        <w:t>בקשת רשות ערעור על החלטת בית המשפט לענייני משפחה במחוז תל-אביב (כב' השופטת ציפי כהן אביטן, בתמ"ש 45384-07-22), מיום 12.2.23</w:t>
      </w:r>
      <w:r w:rsidR="00DB7901">
        <w:rPr>
          <w:rFonts w:ascii="David" w:hAnsi="David" w:hint="cs"/>
          <w:rtl/>
        </w:rPr>
        <w:t>,</w:t>
      </w:r>
      <w:r>
        <w:rPr>
          <w:rFonts w:ascii="David" w:hAnsi="David"/>
          <w:rtl/>
        </w:rPr>
        <w:t xml:space="preserve"> במסגרתה נדחתה בקשת המבקש למתן סעד זמני לעיכוב ביצוע תשלום מזונות אשה לפי הוראות הסכם הגירושין בין הצדדים.</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b/>
          <w:bCs/>
          <w:u w:val="single"/>
          <w:rtl/>
        </w:rPr>
      </w:pPr>
      <w:r>
        <w:rPr>
          <w:rFonts w:ascii="David" w:hAnsi="David"/>
          <w:b/>
          <w:bCs/>
          <w:u w:val="single"/>
          <w:rtl/>
        </w:rPr>
        <w:t>העובדות הצריכות לעניין</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הצדדים הם בני זוג לשעבר, הורים לקטינים.</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בשנת 2012 נחתם בין הצדדים הסכם גירושין שקיבל תוקף של פס"ד .</w:t>
      </w:r>
    </w:p>
    <w:p w:rsidR="00F14F6F" w:rsidRDefault="00F14F6F" w:rsidP="00F14F6F">
      <w:pPr>
        <w:spacing w:line="360" w:lineRule="auto"/>
        <w:jc w:val="both"/>
        <w:rPr>
          <w:rFonts w:ascii="David" w:hAnsi="David"/>
          <w:rtl/>
        </w:rPr>
      </w:pPr>
    </w:p>
    <w:p w:rsidR="00F14F6F" w:rsidRPr="00DB7901" w:rsidRDefault="00F14F6F" w:rsidP="00DB7901">
      <w:pPr>
        <w:spacing w:line="360" w:lineRule="auto"/>
        <w:jc w:val="both"/>
        <w:rPr>
          <w:rFonts w:ascii="David" w:hAnsi="David"/>
          <w:rtl/>
        </w:rPr>
      </w:pPr>
      <w:r>
        <w:rPr>
          <w:rFonts w:ascii="David" w:hAnsi="David"/>
          <w:rtl/>
        </w:rPr>
        <w:t>במסגרת ההסכם נכלל פרק הנושא כותרת "</w:t>
      </w:r>
      <w:r>
        <w:rPr>
          <w:rFonts w:ascii="David" w:hAnsi="David"/>
          <w:b/>
          <w:bCs/>
          <w:rtl/>
        </w:rPr>
        <w:t>מזונות אשה וילדים</w:t>
      </w:r>
      <w:r>
        <w:rPr>
          <w:rFonts w:ascii="David" w:hAnsi="David"/>
          <w:rtl/>
        </w:rPr>
        <w:t>".</w:t>
      </w:r>
      <w:r w:rsidR="00DB7901">
        <w:rPr>
          <w:rFonts w:ascii="David" w:hAnsi="David" w:hint="cs"/>
          <w:rtl/>
        </w:rPr>
        <w:t xml:space="preserve"> </w:t>
      </w:r>
      <w:r>
        <w:rPr>
          <w:rFonts w:ascii="David" w:hAnsi="David"/>
          <w:rtl/>
        </w:rPr>
        <w:t>במסגרת פרק זה התחייב המבקש לשאת, מעבר למזונות הקטינים שנקבעו , גם בתשלום סכום שהוגדר כ"מזונות אשה" למשיבה בסך של 4,000 ₪ לחודש (ס' 10 להסכם) כשאלו ישולמו "</w:t>
      </w:r>
      <w:r>
        <w:rPr>
          <w:rFonts w:ascii="David" w:hAnsi="David"/>
          <w:b/>
          <w:bCs/>
          <w:rtl/>
        </w:rPr>
        <w:t>עד הגיע אחרון הילדים לגיל 21 שנה</w:t>
      </w:r>
      <w:r>
        <w:rPr>
          <w:rFonts w:ascii="David" w:hAnsi="David"/>
          <w:rtl/>
        </w:rPr>
        <w:t>" (ס' 13 להסכם). עוד באותו הפרק, בסעיף 15 להסכם, נקבע כי "</w:t>
      </w:r>
      <w:r>
        <w:rPr>
          <w:rFonts w:ascii="David" w:hAnsi="David"/>
          <w:b/>
          <w:bCs/>
          <w:rtl/>
        </w:rPr>
        <w:t>האישה מתחייבת שלא לעבוד בעבודה שתמנע ממנה לקבל את כל הילדים בחזרה מבתי הספר או הגנים וזאת אלא אם הצדדים יסכמו אחרים ביניהם בהסכמה לפני תחילת עבודתה של האשה".</w:t>
      </w:r>
    </w:p>
    <w:p w:rsidR="00F14F6F" w:rsidRDefault="00F14F6F" w:rsidP="00F14F6F">
      <w:pPr>
        <w:spacing w:line="360" w:lineRule="auto"/>
        <w:jc w:val="both"/>
        <w:rPr>
          <w:rFonts w:ascii="David" w:hAnsi="David"/>
          <w:rtl/>
        </w:rPr>
      </w:pPr>
      <w:r>
        <w:rPr>
          <w:rFonts w:ascii="David" w:hAnsi="David"/>
          <w:rtl/>
        </w:rPr>
        <w:lastRenderedPageBreak/>
        <w:t>בחודש יולי 2022 הגיש המבקש תביעה לביהמ"ש קמא במסגרתה עתר, בין השאר, לביטול חיובו ברכיב מזונות האשה שנקבע בהסכם הגירושין. המבקש טען בתביעתו כי הוא פטור מלמלא אחר חיובו במזונות אשה משהמשיבה החלה לעבוד במשרה מלאה, אינה נמצאת בבית בשעת חזרת הילדים מביה"ס, אינה מקבלת את הילדים ואינה נמצאת עמם, ומשכך הפרה את הוראת סעיף 15 להסכם.</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המשיבה בכתב הגנתה הכחישה את טענות המבקש .</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b/>
          <w:bCs/>
          <w:rtl/>
        </w:rPr>
      </w:pPr>
      <w:r>
        <w:rPr>
          <w:rFonts w:ascii="David" w:hAnsi="David"/>
          <w:rtl/>
        </w:rPr>
        <w:t>ביום 11.12.22 פנה המבקש לביהמ"ש קמא והגיש בקשה למתן סעד זמני לעיכוב ביצוע תשלום המזונות לאשה לפי ההסכם. במסגרת הבקשה חזר וטען המבקש כי התחייבויותיו בתשלום המזונות למשיבה, בסך של 4,000 ₪ לחודש, הייתה כפופה לכך שלא תעבוד בעבודה שתמנע ממנה לקבל את הילדים בחזרתם מבתי הספר, ומשהמשיבה מפרה תנאי זה , כפי שעלה גם מדבריה בדיון שהתקיים לפני ביהמ"ש קמא ביום 29.11.22, הוא פטור מחיובו לפי ההסכם. המבקש טען כי אם ביהמ"ש לא ייעתר לבקשתו המשיבה תנקוט נגדו בהליכים מבצעיים בלשכת ההוצל"פ ו"</w:t>
      </w:r>
      <w:r>
        <w:rPr>
          <w:rFonts w:ascii="David" w:hAnsi="David"/>
          <w:b/>
          <w:bCs/>
          <w:rtl/>
        </w:rPr>
        <w:t>לכשיינתן פסק דינו של ביהמ"ש תרהיב היא עוז ותטען שהסכומים שכבר שולמו ע"י המבקש אינם ברי קיזוז והשבה שכן המזונות נאכלו" .</w:t>
      </w:r>
    </w:p>
    <w:p w:rsidR="00F14F6F" w:rsidRDefault="00F14F6F" w:rsidP="00F14F6F">
      <w:pPr>
        <w:spacing w:line="360" w:lineRule="auto"/>
        <w:jc w:val="both"/>
        <w:rPr>
          <w:rFonts w:ascii="David" w:hAnsi="David"/>
          <w:b/>
          <w:bCs/>
          <w:rtl/>
        </w:rPr>
      </w:pPr>
    </w:p>
    <w:p w:rsidR="00F14F6F" w:rsidRDefault="00F14F6F" w:rsidP="00F14F6F">
      <w:pPr>
        <w:spacing w:line="360" w:lineRule="auto"/>
        <w:jc w:val="both"/>
        <w:rPr>
          <w:rFonts w:ascii="David" w:hAnsi="David"/>
          <w:rtl/>
        </w:rPr>
      </w:pPr>
      <w:r>
        <w:rPr>
          <w:rFonts w:ascii="David" w:hAnsi="David"/>
          <w:rtl/>
        </w:rPr>
        <w:t xml:space="preserve">המשיבה הגישה תגובתה לבקשת המבקש ביום 26.12.22 ובמסגרתה חזרה על טענותיה, הכחישה את טענות המבקש כי אינה מקבלת את הילדים עם שובם מבית הספר כמו גם את פרשנותו להוראות ההסכם והקשר בין חיובו בתשלום מזונותיה לחיובה שלה לפי ס' 15 להסכם. עוד הוסיפה כי עתירת המבקש היא לקבלת סעד זמני הזהה לסעד העיקרי וסיכויי תביעתו אינם גבוהים משהוא קורא לתוך ההסכם פרשנות שאינה כתובה ושנולדה לכבודה של התביעה אותה הגיש. </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המבקש הגיש תשובה לתגובת המשיבה ביום 28.12.22.</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משלא עלה בידי באי כוח הצדדים לתאם מועד לדיון בבקשה לסעד הזמני הודיעו ביום 7.2.23 על הסכמתם להצעת ביהמ"ש קמא לפיה הבקשה תוכרע לפי כתבי הטענות וללא דיון.</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 xml:space="preserve">ביום 12.2.23 ניתנה החלטת ביהמ"ש קמא הדוחה את בקשת המבקש. ביהמ"ש קמא נימק את החלטתו בכך שאינו מוצא מקום להיעתר לבקשה בטרם התקיים דיון הוכחות; כי מדובר בסעד זמני שהוא חופף לסעד העיקרי המבוקש בתביעה; וכי אף מאזן הנוחות נוטה לטובת המשיבה שכן זכויותיו </w:t>
      </w:r>
      <w:r>
        <w:rPr>
          <w:rFonts w:ascii="David" w:hAnsi="David"/>
          <w:rtl/>
        </w:rPr>
        <w:lastRenderedPageBreak/>
        <w:t>של המבקש לא תפגענה מהותית שכן התיק קבוע לשמיעת ההוכחות בעוד כשלושה חודשים וככל שתביעתו תתקבל ניתן יהיה לפצות אותו בחיוב בהוצאות ראויות.</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על החלטה זו מלין המבקש בבקשת רשות הערעור שלפניי. המבקש חוזר על טענותיו שנטענו לפני ביהמ"ש קמא – לטענתו במסגרת סעיף 15 להסכם "</w:t>
      </w:r>
      <w:r>
        <w:rPr>
          <w:rFonts w:ascii="David" w:hAnsi="David"/>
          <w:b/>
          <w:bCs/>
          <w:rtl/>
        </w:rPr>
        <w:t>נקבע מפורשות שתשלומי מזונות האשה כפופים להתחייבות של המשיבה שלא לעבוד בעבודה שתמנע מנה לקבל את הילדים בחזרתם מבתי הספר"</w:t>
      </w:r>
      <w:r>
        <w:rPr>
          <w:rFonts w:ascii="David" w:hAnsi="David"/>
          <w:rtl/>
        </w:rPr>
        <w:t xml:space="preserve"> (ס' 10 לבר"ע); כעולה מעדות המשיבה בדיון שהתקיים ביום 29.11.22 היא הפרה חיוב זה ; צפוי להיגרם לו נזק בלתי הפיך ככל שלא יינתן סעד זמני שכן הוא יאלץ להמשיך לשלם סכום חודשי זה ללא כל צורך ואז ייטען נגדו שלא ניתן להשיבו; תגובת המשיבה לבקשתו לסעד זמני לא נתמכה כלל בתצהיר ולכן דין תגובתה היה להימחק וטענותיו העובדתיות היו צריכות להתקבל. </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b/>
          <w:bCs/>
          <w:u w:val="single"/>
          <w:rtl/>
        </w:rPr>
      </w:pPr>
      <w:r>
        <w:rPr>
          <w:rFonts w:ascii="David" w:hAnsi="David"/>
          <w:b/>
          <w:bCs/>
          <w:u w:val="single"/>
          <w:rtl/>
        </w:rPr>
        <w:t>דיון והכרעה</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לאחר עיון בבקשת רשות הערעור ובנספחיה מצאתי לדחותה ללא צורך בקבלת תשובה.</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כלל הוא כי לערכאה הדיונית מסור שיקול דעת רחב בכל הנוגע להחלטות בדבר מתן סעדים זמניים, והתערבותה של ערכאת הערעור בהחלטות מסוג זה שמורה למקרים חריגים בלבד, שבהם עשויה להיות להכרעה בסוגיית הסעד הזמני השפעה ניכרת על זכויות הצדדים (ראו למשל: רע"א 4175/20 </w:t>
      </w:r>
      <w:r>
        <w:rPr>
          <w:rFonts w:ascii="David" w:hAnsi="David"/>
          <w:b/>
          <w:bCs/>
          <w:u w:val="single"/>
          <w:rtl/>
        </w:rPr>
        <w:t>עמותת מעלות התורה נ' רייכמאן</w:t>
      </w:r>
      <w:r>
        <w:rPr>
          <w:rFonts w:ascii="David" w:hAnsi="David"/>
        </w:rPr>
        <w:t>,</w:t>
      </w:r>
      <w:r>
        <w:rPr>
          <w:rFonts w:ascii="David" w:hAnsi="David"/>
          <w:rtl/>
        </w:rPr>
        <w:t xml:space="preserve"> </w:t>
      </w:r>
      <w:r>
        <w:rPr>
          <w:rFonts w:ascii="David" w:hAnsi="David" w:hint="cs"/>
          <w:rtl/>
        </w:rPr>
        <w:t>פסקה 13, פורסם בנבו</w:t>
      </w:r>
      <w:r>
        <w:rPr>
          <w:rFonts w:ascii="David" w:hAnsi="David"/>
        </w:rPr>
        <w:t>;(30.7.2020) </w:t>
      </w:r>
      <w:r>
        <w:rPr>
          <w:rFonts w:ascii="David" w:hAnsi="David"/>
          <w:rtl/>
        </w:rPr>
        <w:t xml:space="preserve"> </w:t>
      </w:r>
      <w:r>
        <w:rPr>
          <w:rFonts w:ascii="David" w:hAnsi="David" w:hint="cs"/>
          <w:rtl/>
        </w:rPr>
        <w:t>רע"א 5435/</w:t>
      </w:r>
      <w:r>
        <w:rPr>
          <w:rFonts w:ascii="David" w:hAnsi="David" w:hint="cs"/>
          <w:b/>
          <w:bCs/>
          <w:u w:val="single"/>
          <w:rtl/>
        </w:rPr>
        <w:t>21</w:t>
      </w:r>
      <w:r>
        <w:rPr>
          <w:rFonts w:ascii="David" w:hAnsi="David"/>
          <w:b/>
          <w:bCs/>
          <w:u w:val="single"/>
        </w:rPr>
        <w:t> </w:t>
      </w:r>
      <w:r>
        <w:rPr>
          <w:rFonts w:ascii="David" w:hAnsi="David"/>
          <w:b/>
          <w:bCs/>
          <w:u w:val="single"/>
          <w:rtl/>
        </w:rPr>
        <w:t>מועדון הפועל עימאד אכסאל נ' ההתאחדות לכדורגל בישראל</w:t>
      </w:r>
      <w:r>
        <w:rPr>
          <w:rFonts w:ascii="David" w:hAnsi="David"/>
          <w:rtl/>
        </w:rPr>
        <w:t xml:space="preserve"> ,  פסקה 16</w:t>
      </w:r>
      <w:r>
        <w:rPr>
          <w:rFonts w:ascii="David" w:hAnsi="David"/>
        </w:rPr>
        <w:t xml:space="preserve">; (8.8.2021) </w:t>
      </w:r>
      <w:r>
        <w:rPr>
          <w:rFonts w:ascii="David" w:hAnsi="David"/>
          <w:rtl/>
        </w:rPr>
        <w:t>חמי בן-נון וטל חבקין</w:t>
      </w:r>
      <w:r>
        <w:rPr>
          <w:rFonts w:ascii="David" w:hAnsi="David"/>
        </w:rPr>
        <w:t>, </w:t>
      </w:r>
      <w:r>
        <w:rPr>
          <w:rFonts w:ascii="David" w:hAnsi="David"/>
          <w:rtl/>
        </w:rPr>
        <w:t xml:space="preserve"> </w:t>
      </w:r>
      <w:r>
        <w:rPr>
          <w:rFonts w:ascii="David" w:hAnsi="David" w:hint="cs"/>
          <w:rtl/>
        </w:rPr>
        <w:t xml:space="preserve">הערעור האזרחי, מהדורה שלישית, 2012, בעמ' 206)). </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לא מצאתי  כי המקרה דנן נמנה עם אותם מקרים חריגים, המצדיקים התערבות בהחלטת ביהמ"ש קמא.</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 xml:space="preserve">הלכה למעשה, במסגרת בקשתו לסעד זמני עתר המבקש לשינוי המצב הקיים המתקיים למעלה מעשור, הפסקת חיוב שנטל על עצמו בהסכם הגירושין בין הצדדים שקיבל תוקף של פס"ד, וקבלת סעד זמני שחופף לסעד העיקרי. לפי ההלכה הפסוקה, ככלל ייטה בית המשפט שלא להיעתר לבקשה לסעד זמני במקרים כגון אלו ( ראו הפסיקה לה הפנה ביהמ"ש קמא בהחלטתו מושא הבר"ע). הייתי יכול לסבור כי במקרה זה יש לחרוג מהכלל לו הייתי יכול לקבל כבר עתה את טענתו העובדתית של </w:t>
      </w:r>
      <w:r>
        <w:rPr>
          <w:rFonts w:ascii="David" w:hAnsi="David"/>
          <w:rtl/>
        </w:rPr>
        <w:lastRenderedPageBreak/>
        <w:t>המבקש ולפיה "</w:t>
      </w:r>
      <w:r>
        <w:rPr>
          <w:rFonts w:ascii="David" w:hAnsi="David"/>
          <w:b/>
          <w:bCs/>
          <w:rtl/>
        </w:rPr>
        <w:t>בסעיף 15 להסכם נקבע מפורשות שתשלומי מזונות האשה כפופים להתחייבות של המשיבה שלא לעבוד בעבודה שתמנע ממנה לקבל את הילדים בחזרתם מבתי הספר</w:t>
      </w:r>
      <w:r>
        <w:rPr>
          <w:rFonts w:ascii="David" w:hAnsi="David"/>
          <w:rtl/>
        </w:rPr>
        <w:t xml:space="preserve">" (ס' 10 לבר"ע) , טענה עליה חזר גם בהמשך </w:t>
      </w:r>
      <w:r>
        <w:rPr>
          <w:rFonts w:ascii="David" w:hAnsi="David"/>
          <w:b/>
          <w:bCs/>
          <w:rtl/>
        </w:rPr>
        <w:t xml:space="preserve">:"סעיף 15 להסכם אינו מגביל את התחייבות המשיבה לגיל מסוים של הילדים, אלא קובע שהמזונות ישולמו עד גיל 21 שלהם בכפוף לקיום התחייבות המשיבה בסעיף" </w:t>
      </w:r>
      <w:r>
        <w:rPr>
          <w:rFonts w:ascii="David" w:hAnsi="David"/>
          <w:rtl/>
        </w:rPr>
        <w:t>(בס' 26 לבר"ע)</w:t>
      </w:r>
      <w:r>
        <w:rPr>
          <w:rFonts w:ascii="David" w:hAnsi="David"/>
          <w:b/>
          <w:bCs/>
          <w:rtl/>
        </w:rPr>
        <w:t xml:space="preserve"> </w:t>
      </w:r>
      <w:r>
        <w:rPr>
          <w:rFonts w:ascii="David" w:hAnsi="David"/>
          <w:rtl/>
        </w:rPr>
        <w:t xml:space="preserve">. דא עקא, בפתח החלטתי ציטטתי את סעיף 15 להסכם במלואו והוא </w:t>
      </w:r>
      <w:r>
        <w:rPr>
          <w:rFonts w:ascii="David" w:hAnsi="David"/>
          <w:b/>
          <w:bCs/>
          <w:rtl/>
        </w:rPr>
        <w:t>אינו</w:t>
      </w:r>
      <w:r>
        <w:rPr>
          <w:rFonts w:ascii="David" w:hAnsi="David"/>
          <w:rtl/>
        </w:rPr>
        <w:t xml:space="preserve"> קובע כי בהפרת התחייבותה של המשיבה לפי הסעיף פטור המבקש מלמלא אחר התחייבויותיו בהסכם הנוגעים לתשלום מזונות האשה למשיבה. בשום מקום בסעיף זה, או בסעיף אחר בהסכם, לא נכתב כי חיובי המבקש לפי ההסכם "כפופים" לקיום התחייבות המשיבה בסעיף. מדובר בפרשנות של המבקש , שהמשיבה  חולקת עליה, והוא כתובע נדרש להוכחתה. העובדה שהמשיבה נטלה על עצמה חיוב במסגרת הסעיף המדובר ואלו המבקש נטל על עצמו חיובים במסגרת ההסכם (בסעיפים אחרים), אינה מלמדת אותנו כי בחיובים שלובים ומותנים עסקינן והם יכולים להיות גם חיובים עצמאיים,  כשחבותו של כל צד להסכם עומדת בפני עצמה, גם כאשר לא עמד הצד השני במילוי חיוב כלשהו שהוטל עליו. בע"א 765/82 </w:t>
      </w:r>
      <w:r>
        <w:rPr>
          <w:rFonts w:ascii="David" w:hAnsi="David"/>
          <w:b/>
          <w:bCs/>
          <w:u w:val="single"/>
          <w:rtl/>
        </w:rPr>
        <w:t>אלתר נ' אלעני</w:t>
      </w:r>
      <w:r>
        <w:rPr>
          <w:rFonts w:ascii="David" w:hAnsi="David"/>
          <w:rtl/>
        </w:rPr>
        <w:t xml:space="preserve"> פ"ד לח(2) 701, התייחס ביהמ"ש העליון (כב' הנשיא שמגר) לקושי הקיים לעיתים בהבחנה בין סוגי החיובים:</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b/>
          <w:bCs/>
        </w:rPr>
      </w:pPr>
      <w:r>
        <w:rPr>
          <w:rFonts w:ascii="David" w:hAnsi="David"/>
          <w:b/>
          <w:bCs/>
        </w:rPr>
        <w:t>"</w:t>
      </w:r>
      <w:r>
        <w:rPr>
          <w:rFonts w:ascii="David" w:hAnsi="David"/>
          <w:b/>
          <w:bCs/>
          <w:rtl/>
        </w:rPr>
        <w:t>המאפיין והמחייב חיובים שלובים בהשוואה לשאר סוגי החיובים, הוא, איפוא, חובת הקיום הבו-זמני של חיובי הצדדים...לצורך בירור השאלה, מה אופיו של החיוב, היינו, אם מדובר על חיוב</w:t>
      </w:r>
      <w:r>
        <w:rPr>
          <w:rFonts w:ascii="David" w:hAnsi="David"/>
          <w:rtl/>
        </w:rPr>
        <w:t xml:space="preserve"> </w:t>
      </w:r>
      <w:r>
        <w:rPr>
          <w:rFonts w:ascii="David" w:hAnsi="David"/>
          <w:b/>
          <w:bCs/>
          <w:rtl/>
        </w:rPr>
        <w:t>עצמאי או חיוב מותנה או משולב, פונים לאותם נתונים מדריכים, בהם נעזרים בפרשנותו של החוזה, בדרך-כלל, וזה כולל, בין היתר, את מבנה החוזה וכוונת הצדדים, כפי שהיא מתפרשת מתוך לשונו של החוזה. לפי המקובל עלינו אנו דנים בזיהויה של דעת הצדדים, כביטוי בחוזה ובנסיבות העניין. מדובר על הערכת משמעותם ובירורם של הנתונים החוזיים כביטוי לדעתם ולכוונתם המוסכמת של הצדדים; מכאן ההתייחסות לאומד הדעת, כלשונו של סעיף 25 לחוק החוזים (חלק כללי), המוליך מן הגלוי אל הכוונה המשוערת. אין, כמובן, מקום להסיק, כי בית המשפט ייתן תוקף ומשמעות לכוונה נסתרת של בעל דין שקיננה בלבו והוסתרה מרעהו ולא באה לידי ביטוי בחוזה; אומד הדעת בכגון דא הוא הסקת מסקנה, מה סוכם בין הצדדים לחוזה עובר לכריתתו ומה היו הכוונות ההדדיות שבבואתן משתקפת בהסכם</w:t>
      </w:r>
      <w:r>
        <w:rPr>
          <w:rFonts w:ascii="David" w:hAnsi="David"/>
          <w:b/>
          <w:bCs/>
        </w:rPr>
        <w:t>.</w:t>
      </w:r>
    </w:p>
    <w:p w:rsidR="00F14F6F" w:rsidRDefault="00F14F6F" w:rsidP="00F14F6F">
      <w:pPr>
        <w:spacing w:line="360" w:lineRule="auto"/>
        <w:jc w:val="both"/>
        <w:rPr>
          <w:rFonts w:ascii="David" w:hAnsi="David"/>
        </w:rPr>
      </w:pPr>
      <w:r>
        <w:rPr>
          <w:rFonts w:ascii="David" w:hAnsi="David"/>
          <w:b/>
          <w:bCs/>
          <w:rtl/>
        </w:rPr>
        <w:t xml:space="preserve">בהקשר שלפנינו מן הראוי לשים דגש על כוונת הצדדים, כפי שהיא עולה מלשון החוזה המסוים המונח לפני בית המשפט (ע"א 195/74 מ' סיני ואח' נ' ע' יהלום ואח’,  פ"ד כח (2) 663 בעמ' 666). אך מובן, כי יקל על בית המשפט להכריז על תנאי מסוים בחוזה כ"חיוב שלוב", כאשר הצדדים טרחו והביעו כוונתם זו במפורש. קשה יותר לעשות כן כאשר בית המשפט מתבקש לקרוא לתוך הסכם </w:t>
      </w:r>
      <w:r>
        <w:rPr>
          <w:rFonts w:ascii="David" w:hAnsi="David"/>
          <w:b/>
          <w:bCs/>
          <w:rtl/>
        </w:rPr>
        <w:lastRenderedPageBreak/>
        <w:t>תנאים שאינם מופיעים בו במפורש ולפרשו מעבר לאמור בו...כפועל יוצא מן האמור לעיל, יש לנהוג זהירות מיוחדת כאשר לשון החוזה אינה תומכת בפרשנות, לפיה חיוב פלוני הוא מותנה או שלוב, ואם הנימוק היחידי למתן פרשנות. כאמור, הוא ראיות ועדויות חיצוניות לחוזה, המובאות לבית המשפט על-ידי אחד הצדדים המתדיינים, ואשר שנויות במחלוקת ביניהם, בחינה בלתי זהירה עלולה להביא ליציקת תוכן חדש ומהות אחרת לחוזה, אשר אליו לא התכוונו מנסחיו</w:t>
      </w:r>
      <w:r>
        <w:rPr>
          <w:rFonts w:ascii="David" w:hAnsi="David"/>
          <w:rtl/>
        </w:rPr>
        <w:t xml:space="preserve"> "( עמ' 710-711 ).</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משטרם התקיימו הוכחות בהליך; משפרשנות המבקש להוראת סעיף 15 להסכם אינה נתמכת בלשון הסעיף; משכל שהובא לפני ביהמ"ש קמא בעניין זה היא גרסת המבקש שהוא צד מעוניין עליה חולקת המשיבה ומשגרסה זו טרם עמדה במבחן החקירה הנגדית  -  לא מצאתי מקום להתערב בהחלטת ביהמ"ש קמא שבחר לנהוג באותה "זהירות מיוחדת"  ולא מצא לנכון לאמץ בשלב זה את הפרשנות אותה הציג המבקש להוראת סעיף 15 להסכם ושעל בסיסה השתית את עתירתו לסעד זמני.</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b/>
          <w:bCs/>
          <w:u w:val="single"/>
          <w:rtl/>
        </w:rPr>
      </w:pPr>
      <w:r>
        <w:rPr>
          <w:rFonts w:ascii="David" w:hAnsi="David"/>
          <w:b/>
          <w:bCs/>
          <w:u w:val="single"/>
          <w:rtl/>
        </w:rPr>
        <w:t>סוף דבר</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לאור כל האמור לעיל, בקשת רשות הערעור נדחית.</w:t>
      </w:r>
    </w:p>
    <w:p w:rsidR="00F14F6F" w:rsidRDefault="00F14F6F" w:rsidP="00F14F6F">
      <w:pPr>
        <w:spacing w:line="360" w:lineRule="auto"/>
        <w:jc w:val="both"/>
        <w:rPr>
          <w:rFonts w:ascii="David" w:hAnsi="David"/>
          <w:rtl/>
        </w:rPr>
      </w:pPr>
      <w:r>
        <w:rPr>
          <w:rFonts w:ascii="David" w:hAnsi="David"/>
          <w:rtl/>
        </w:rPr>
        <w:t>משלא התבקשה תשובה – אין צו להוצאות.</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העירבון, על פירותיו, יושב למבקש באמצעות בא כוחו.</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tl/>
        </w:rPr>
      </w:pPr>
      <w:r>
        <w:rPr>
          <w:rFonts w:ascii="David" w:hAnsi="David"/>
          <w:rtl/>
        </w:rPr>
        <w:t>מתיר פרסום ההחלטה במתכונת בה נחתמה, בהיעדר שמות הצדדים ופרטים מזהים אחרים.</w:t>
      </w:r>
    </w:p>
    <w:p w:rsidR="00F14F6F" w:rsidRDefault="00F14F6F" w:rsidP="00F14F6F">
      <w:pPr>
        <w:spacing w:line="360" w:lineRule="auto"/>
        <w:jc w:val="both"/>
        <w:rPr>
          <w:rFonts w:ascii="David" w:hAnsi="David"/>
          <w:rtl/>
        </w:rPr>
      </w:pPr>
    </w:p>
    <w:p w:rsidR="00F14F6F" w:rsidRDefault="00F14F6F" w:rsidP="00F14F6F">
      <w:pPr>
        <w:spacing w:line="360" w:lineRule="auto"/>
        <w:jc w:val="both"/>
        <w:rPr>
          <w:rFonts w:ascii="David" w:hAnsi="David"/>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אפריל 2023</w:t>
          </w:r>
        </w:sdtContent>
      </w:sdt>
      <w:r w:rsidR="00005C8B">
        <w:rPr>
          <w:rFonts w:ascii="Arial" w:hAnsi="Arial"/>
          <w:noProof w:val="0"/>
          <w:rtl/>
        </w:rPr>
        <w:t>, בהעדר הצדדים.</w:t>
      </w:r>
    </w:p>
    <w:p w:rsidR="00C43648" w:rsidRDefault="00F03686"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F03686" w:rsidP="00C43648">
      <w:pPr>
        <w:tabs>
          <w:tab w:val="left" w:pos="2553"/>
        </w:tabs>
        <w:ind w:left="5040"/>
      </w:pPr>
      <w:sdt>
        <w:sdtPr>
          <w:rPr>
            <w:rtl/>
          </w:rPr>
          <w:alias w:val="MergeField"/>
          <w:tag w:val="1237"/>
          <w:id w:val="1031376445"/>
        </w:sdtPr>
        <w:sdtEndPr/>
        <w:sdtContent>
          <w:r w:rsidR="003F4681">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755648" cy="44348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8"/>
      <w:footerReference w:type="default" r:id="rId9"/>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686" w:rsidRDefault="00F03686">
      <w:r>
        <w:separator/>
      </w:r>
    </w:p>
  </w:endnote>
  <w:endnote w:type="continuationSeparator" w:id="0">
    <w:p w:rsidR="00F03686" w:rsidRDefault="00F0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765E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765E3">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686" w:rsidRDefault="00F03686">
      <w:r>
        <w:separator/>
      </w:r>
    </w:p>
  </w:footnote>
  <w:footnote w:type="continuationSeparator" w:id="0">
    <w:p w:rsidR="00F03686" w:rsidRDefault="00F03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 יפו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03686" w:rsidP="00F14F6F">
          <w:pPr>
            <w:rPr>
              <w:b/>
              <w:bCs/>
              <w:noProof w:val="0"/>
              <w:sz w:val="26"/>
              <w:szCs w:val="26"/>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750A27">
                <w:rPr>
                  <w:b/>
                  <w:bCs/>
                  <w:noProof w:val="0"/>
                  <w:sz w:val="26"/>
                  <w:szCs w:val="26"/>
                  <w:rtl/>
                </w:rPr>
                <w:t>17325-03-23</w:t>
              </w:r>
            </w:sdtContent>
          </w:sdt>
          <w:r w:rsidR="00005C8B">
            <w:rPr>
              <w:b/>
              <w:bCs/>
              <w:noProof w:val="0"/>
              <w:sz w:val="26"/>
              <w:szCs w:val="26"/>
              <w:rtl/>
            </w:rPr>
            <w:t xml:space="preserve"> </w:t>
          </w:r>
          <w:sdt>
            <w:sdtPr>
              <w:rPr>
                <w:rtl/>
              </w:rPr>
              <w:alias w:val="1172"/>
              <w:tag w:val="1172"/>
              <w:id w:val="-595170033"/>
              <w:text w:multiLine="1"/>
            </w:sdtPr>
            <w:sdtEndPr/>
            <w:sdtContent>
              <w:r w:rsidR="00F14F6F">
                <w:rPr>
                  <w:rFonts w:hint="cs"/>
                  <w:b/>
                  <w:bCs/>
                  <w:noProof w:val="0"/>
                  <w:sz w:val="26"/>
                  <w:szCs w:val="26"/>
                  <w:rtl/>
                </w:rPr>
                <w:t>פלוני נ' אלמונית</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64AB"/>
    <w:rsid w:val="00064FBD"/>
    <w:rsid w:val="00082AB2"/>
    <w:rsid w:val="00096AF7"/>
    <w:rsid w:val="000B344B"/>
    <w:rsid w:val="000C3B0F"/>
    <w:rsid w:val="000C3B60"/>
    <w:rsid w:val="000E3AF1"/>
    <w:rsid w:val="000F0BC8"/>
    <w:rsid w:val="000F0DD6"/>
    <w:rsid w:val="00107E6D"/>
    <w:rsid w:val="0011194C"/>
    <w:rsid w:val="0011424C"/>
    <w:rsid w:val="001367BC"/>
    <w:rsid w:val="00144D2A"/>
    <w:rsid w:val="0014653E"/>
    <w:rsid w:val="00180519"/>
    <w:rsid w:val="00191C82"/>
    <w:rsid w:val="001C4003"/>
    <w:rsid w:val="001D4DBF"/>
    <w:rsid w:val="001E75CA"/>
    <w:rsid w:val="002265FF"/>
    <w:rsid w:val="002450EA"/>
    <w:rsid w:val="002C344E"/>
    <w:rsid w:val="002E5258"/>
    <w:rsid w:val="00307A6A"/>
    <w:rsid w:val="00307C40"/>
    <w:rsid w:val="00320433"/>
    <w:rsid w:val="003230C7"/>
    <w:rsid w:val="00327CB2"/>
    <w:rsid w:val="00327E50"/>
    <w:rsid w:val="0033597A"/>
    <w:rsid w:val="00362612"/>
    <w:rsid w:val="0036743F"/>
    <w:rsid w:val="003715DD"/>
    <w:rsid w:val="003823E0"/>
    <w:rsid w:val="003A4521"/>
    <w:rsid w:val="003D1C8C"/>
    <w:rsid w:val="003F4681"/>
    <w:rsid w:val="0040096C"/>
    <w:rsid w:val="00414F1F"/>
    <w:rsid w:val="0043125D"/>
    <w:rsid w:val="0043502B"/>
    <w:rsid w:val="004443AC"/>
    <w:rsid w:val="004C4BDF"/>
    <w:rsid w:val="004D1187"/>
    <w:rsid w:val="004E1987"/>
    <w:rsid w:val="004E2E15"/>
    <w:rsid w:val="004E4BA7"/>
    <w:rsid w:val="004E6E3C"/>
    <w:rsid w:val="004F14F0"/>
    <w:rsid w:val="00520898"/>
    <w:rsid w:val="00524986"/>
    <w:rsid w:val="005268F6"/>
    <w:rsid w:val="00547DB7"/>
    <w:rsid w:val="005F4F09"/>
    <w:rsid w:val="0061431B"/>
    <w:rsid w:val="00622BAA"/>
    <w:rsid w:val="006306CF"/>
    <w:rsid w:val="00644E9A"/>
    <w:rsid w:val="00671BD5"/>
    <w:rsid w:val="006805C1"/>
    <w:rsid w:val="00686C21"/>
    <w:rsid w:val="006931C1"/>
    <w:rsid w:val="00694556"/>
    <w:rsid w:val="006D3B31"/>
    <w:rsid w:val="006E1A53"/>
    <w:rsid w:val="006E6E6C"/>
    <w:rsid w:val="006F678A"/>
    <w:rsid w:val="00704EDA"/>
    <w:rsid w:val="00721122"/>
    <w:rsid w:val="00740A8F"/>
    <w:rsid w:val="00750A27"/>
    <w:rsid w:val="00753019"/>
    <w:rsid w:val="00795365"/>
    <w:rsid w:val="007E6115"/>
    <w:rsid w:val="007F4609"/>
    <w:rsid w:val="008026ED"/>
    <w:rsid w:val="008176A1"/>
    <w:rsid w:val="00820005"/>
    <w:rsid w:val="00844318"/>
    <w:rsid w:val="00851C69"/>
    <w:rsid w:val="00870890"/>
    <w:rsid w:val="00873602"/>
    <w:rsid w:val="00875D12"/>
    <w:rsid w:val="00896889"/>
    <w:rsid w:val="008C5714"/>
    <w:rsid w:val="008D10B2"/>
    <w:rsid w:val="00903896"/>
    <w:rsid w:val="00906F3D"/>
    <w:rsid w:val="0094424E"/>
    <w:rsid w:val="009605B3"/>
    <w:rsid w:val="009622DF"/>
    <w:rsid w:val="00967DFF"/>
    <w:rsid w:val="00994341"/>
    <w:rsid w:val="009A376F"/>
    <w:rsid w:val="009D7E8E"/>
    <w:rsid w:val="009E78C0"/>
    <w:rsid w:val="009F323C"/>
    <w:rsid w:val="00A125FF"/>
    <w:rsid w:val="00A3392B"/>
    <w:rsid w:val="00A40B04"/>
    <w:rsid w:val="00A94B64"/>
    <w:rsid w:val="00AA3229"/>
    <w:rsid w:val="00AA7596"/>
    <w:rsid w:val="00AB5E52"/>
    <w:rsid w:val="00AC3B02"/>
    <w:rsid w:val="00AC3B7B"/>
    <w:rsid w:val="00AC5209"/>
    <w:rsid w:val="00AD3AD9"/>
    <w:rsid w:val="00AE7752"/>
    <w:rsid w:val="00AF7FDA"/>
    <w:rsid w:val="00B765E3"/>
    <w:rsid w:val="00B80CBD"/>
    <w:rsid w:val="00B86096"/>
    <w:rsid w:val="00BA517C"/>
    <w:rsid w:val="00BB3D05"/>
    <w:rsid w:val="00BB73BE"/>
    <w:rsid w:val="00BE05B2"/>
    <w:rsid w:val="00BE7726"/>
    <w:rsid w:val="00BF1908"/>
    <w:rsid w:val="00C22D93"/>
    <w:rsid w:val="00C31120"/>
    <w:rsid w:val="00C34482"/>
    <w:rsid w:val="00C43648"/>
    <w:rsid w:val="00C50A9F"/>
    <w:rsid w:val="00C642FA"/>
    <w:rsid w:val="00C83000"/>
    <w:rsid w:val="00CC7622"/>
    <w:rsid w:val="00D27982"/>
    <w:rsid w:val="00D33B86"/>
    <w:rsid w:val="00D53924"/>
    <w:rsid w:val="00D55D0C"/>
    <w:rsid w:val="00D96D8C"/>
    <w:rsid w:val="00DA4E55"/>
    <w:rsid w:val="00DA6649"/>
    <w:rsid w:val="00DB7901"/>
    <w:rsid w:val="00DC1259"/>
    <w:rsid w:val="00DC2571"/>
    <w:rsid w:val="00DC487C"/>
    <w:rsid w:val="00DE6BF6"/>
    <w:rsid w:val="00DF40CC"/>
    <w:rsid w:val="00E25884"/>
    <w:rsid w:val="00E31C2B"/>
    <w:rsid w:val="00E5426A"/>
    <w:rsid w:val="00E54642"/>
    <w:rsid w:val="00E90BA2"/>
    <w:rsid w:val="00EC37E9"/>
    <w:rsid w:val="00EE32E3"/>
    <w:rsid w:val="00F03686"/>
    <w:rsid w:val="00F06995"/>
    <w:rsid w:val="00F13623"/>
    <w:rsid w:val="00F14F6F"/>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869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0D218C" w:rsidP="000D218C">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D218C"/>
    <w:rsid w:val="001A370D"/>
    <w:rsid w:val="00410E40"/>
    <w:rsid w:val="005C53BE"/>
    <w:rsid w:val="008A1B90"/>
    <w:rsid w:val="009133C7"/>
    <w:rsid w:val="00924F53"/>
    <w:rsid w:val="00951126"/>
    <w:rsid w:val="00AA7CE3"/>
    <w:rsid w:val="00BD41E0"/>
    <w:rsid w:val="00CB2C2C"/>
    <w:rsid w:val="00CD521E"/>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D218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0D218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1337</Words>
  <Characters>6687</Characters>
  <Application>Microsoft Office Word</Application>
  <DocSecurity>0</DocSecurity>
  <Lines>55</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2023-04-20T08:39:00Z</dcterms:created>
  <dcterms:modified xsi:type="dcterms:W3CDTF">2023-04-20T08:39:00Z</dcterms:modified>
</cp:coreProperties>
</file>